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2EA2" w:rsidRPr="00C06083" w:rsidRDefault="00092EA2" w:rsidP="00092EA2">
      <w:pPr>
        <w:pStyle w:val="Kop2"/>
        <w:rPr>
          <w:rFonts w:asciiTheme="minorHAnsi" w:hAnsiTheme="minorHAnsi" w:cstheme="minorHAnsi"/>
          <w:sz w:val="22"/>
          <w:szCs w:val="22"/>
        </w:rPr>
      </w:pPr>
      <w:proofErr w:type="spellStart"/>
      <w:r w:rsidRPr="00C06083">
        <w:rPr>
          <w:rFonts w:asciiTheme="minorHAnsi" w:hAnsiTheme="minorHAnsi" w:cstheme="minorHAnsi"/>
          <w:sz w:val="22"/>
          <w:szCs w:val="22"/>
        </w:rPr>
        <w:t>Oncoline</w:t>
      </w:r>
      <w:proofErr w:type="spellEnd"/>
      <w:r w:rsidRPr="00C06083">
        <w:rPr>
          <w:rFonts w:asciiTheme="minorHAnsi" w:hAnsiTheme="minorHAnsi" w:cstheme="minorHAnsi"/>
          <w:sz w:val="22"/>
          <w:szCs w:val="22"/>
        </w:rPr>
        <w:t xml:space="preserve">: </w:t>
      </w:r>
      <w:r>
        <w:rPr>
          <w:rFonts w:asciiTheme="minorHAnsi" w:hAnsiTheme="minorHAnsi" w:cstheme="minorHAnsi"/>
          <w:sz w:val="22"/>
          <w:szCs w:val="22"/>
        </w:rPr>
        <w:t>Decubitus</w:t>
      </w:r>
    </w:p>
    <w:p w:rsidR="00092EA2" w:rsidRPr="00C06083" w:rsidRDefault="00092EA2" w:rsidP="00092EA2">
      <w:pPr>
        <w:rPr>
          <w:rFonts w:cstheme="minorHAnsi"/>
        </w:rPr>
      </w:pPr>
    </w:p>
    <w:p w:rsidR="00092EA2" w:rsidRPr="00C06083" w:rsidRDefault="00092EA2" w:rsidP="00092EA2">
      <w:pPr>
        <w:pStyle w:val="Kop2"/>
        <w:rPr>
          <w:rFonts w:asciiTheme="minorHAnsi" w:hAnsiTheme="minorHAnsi" w:cstheme="minorHAnsi"/>
          <w:sz w:val="22"/>
          <w:szCs w:val="22"/>
        </w:rPr>
      </w:pPr>
      <w:r w:rsidRPr="00C06083">
        <w:rPr>
          <w:rFonts w:asciiTheme="minorHAnsi" w:hAnsiTheme="minorHAnsi" w:cstheme="minorHAnsi"/>
          <w:sz w:val="22"/>
          <w:szCs w:val="22"/>
        </w:rPr>
        <w:t>Inleiding:</w:t>
      </w:r>
    </w:p>
    <w:p w:rsidR="00092EA2" w:rsidRPr="00C06083" w:rsidRDefault="00092EA2" w:rsidP="00092EA2">
      <w:pPr>
        <w:rPr>
          <w:rFonts w:cstheme="minorHAnsi"/>
        </w:rPr>
      </w:pPr>
      <w:proofErr w:type="spellStart"/>
      <w:r w:rsidRPr="00C06083">
        <w:rPr>
          <w:rFonts w:cstheme="minorHAnsi"/>
        </w:rPr>
        <w:t>Oncoline</w:t>
      </w:r>
      <w:proofErr w:type="spellEnd"/>
      <w:r w:rsidRPr="00C06083">
        <w:rPr>
          <w:rFonts w:cstheme="minorHAnsi"/>
        </w:rPr>
        <w:t xml:space="preserve"> is een richtlijnendatabase. Deze database bevat zowel oncologische als palliatieve richtlijnen. De richtlijnen zijn ontwikkeld door de beroepsvereniging. De oncologische richtlijnen zijn veelal via</w:t>
      </w:r>
      <w:r>
        <w:rPr>
          <w:rFonts w:cstheme="minorHAnsi"/>
        </w:rPr>
        <w:t xml:space="preserve"> de</w:t>
      </w:r>
      <w:r w:rsidRPr="00C06083">
        <w:rPr>
          <w:rFonts w:cstheme="minorHAnsi"/>
        </w:rPr>
        <w:t xml:space="preserve"> </w:t>
      </w:r>
      <w:proofErr w:type="spellStart"/>
      <w:r w:rsidRPr="00C06083">
        <w:rPr>
          <w:rFonts w:cstheme="minorHAnsi"/>
        </w:rPr>
        <w:t>evidence</w:t>
      </w:r>
      <w:proofErr w:type="spellEnd"/>
      <w:r w:rsidRPr="00C06083">
        <w:rPr>
          <w:rFonts w:cstheme="minorHAnsi"/>
        </w:rPr>
        <w:t xml:space="preserve"> </w:t>
      </w:r>
      <w:proofErr w:type="spellStart"/>
      <w:r w:rsidRPr="00C06083">
        <w:rPr>
          <w:rFonts w:cstheme="minorHAnsi"/>
        </w:rPr>
        <w:t>based</w:t>
      </w:r>
      <w:proofErr w:type="spellEnd"/>
      <w:r w:rsidRPr="00C06083">
        <w:rPr>
          <w:rFonts w:cstheme="minorHAnsi"/>
        </w:rPr>
        <w:t xml:space="preserve"> methodiek opgesteld. De palliatieve richtlijnen aan de hand van de consensus </w:t>
      </w:r>
      <w:proofErr w:type="spellStart"/>
      <w:r w:rsidRPr="00C06083">
        <w:rPr>
          <w:rFonts w:cstheme="minorHAnsi"/>
        </w:rPr>
        <w:t>based</w:t>
      </w:r>
      <w:proofErr w:type="spellEnd"/>
      <w:r w:rsidRPr="00C06083">
        <w:rPr>
          <w:rFonts w:cstheme="minorHAnsi"/>
        </w:rPr>
        <w:t xml:space="preserve"> methodiek.  </w:t>
      </w:r>
    </w:p>
    <w:p w:rsidR="00092EA2" w:rsidRPr="00C06083" w:rsidRDefault="00092EA2" w:rsidP="00092EA2">
      <w:pPr>
        <w:pStyle w:val="Kop2"/>
        <w:rPr>
          <w:rFonts w:asciiTheme="minorHAnsi" w:hAnsiTheme="minorHAnsi" w:cstheme="minorHAnsi"/>
          <w:sz w:val="22"/>
          <w:szCs w:val="22"/>
        </w:rPr>
      </w:pPr>
      <w:proofErr w:type="spellStart"/>
      <w:r>
        <w:rPr>
          <w:rFonts w:asciiTheme="minorHAnsi" w:hAnsiTheme="minorHAnsi" w:cstheme="minorHAnsi"/>
          <w:sz w:val="22"/>
          <w:szCs w:val="22"/>
        </w:rPr>
        <w:t>CanMEDS</w:t>
      </w:r>
      <w:proofErr w:type="spellEnd"/>
      <w:r>
        <w:rPr>
          <w:rFonts w:asciiTheme="minorHAnsi" w:hAnsiTheme="minorHAnsi" w:cstheme="minorHAnsi"/>
          <w:sz w:val="22"/>
          <w:szCs w:val="22"/>
        </w:rPr>
        <w:t>-</w:t>
      </w:r>
      <w:r w:rsidRPr="00C06083">
        <w:rPr>
          <w:rFonts w:asciiTheme="minorHAnsi" w:hAnsiTheme="minorHAnsi" w:cstheme="minorHAnsi"/>
          <w:sz w:val="22"/>
          <w:szCs w:val="22"/>
        </w:rPr>
        <w:t>rol en competenties:</w:t>
      </w:r>
    </w:p>
    <w:p w:rsidR="00092EA2" w:rsidRPr="00C06083" w:rsidRDefault="00092EA2" w:rsidP="00092EA2">
      <w:pPr>
        <w:rPr>
          <w:rFonts w:cstheme="minorHAnsi"/>
        </w:rPr>
      </w:pPr>
      <w:proofErr w:type="spellStart"/>
      <w:r w:rsidRPr="00C06083">
        <w:rPr>
          <w:rFonts w:cstheme="minorHAnsi"/>
        </w:rPr>
        <w:t>Oncoline</w:t>
      </w:r>
      <w:proofErr w:type="spellEnd"/>
      <w:r w:rsidRPr="00C06083">
        <w:rPr>
          <w:rFonts w:cstheme="minorHAnsi"/>
        </w:rPr>
        <w:t xml:space="preserve"> is een richtlijnen database. </w:t>
      </w:r>
      <w:r>
        <w:rPr>
          <w:rFonts w:cstheme="minorHAnsi"/>
        </w:rPr>
        <w:t>A</w:t>
      </w:r>
      <w:r w:rsidRPr="00C06083">
        <w:rPr>
          <w:rFonts w:cstheme="minorHAnsi"/>
        </w:rPr>
        <w:t xml:space="preserve">ls gekeken wordt naar de </w:t>
      </w:r>
      <w:proofErr w:type="spellStart"/>
      <w:r w:rsidRPr="00C06083">
        <w:rPr>
          <w:rFonts w:cstheme="minorHAnsi"/>
        </w:rPr>
        <w:t>pyramide</w:t>
      </w:r>
      <w:proofErr w:type="spellEnd"/>
      <w:r w:rsidRPr="00C06083">
        <w:rPr>
          <w:rFonts w:cstheme="minorHAnsi"/>
        </w:rPr>
        <w:t xml:space="preserve"> of </w:t>
      </w:r>
      <w:proofErr w:type="spellStart"/>
      <w:r w:rsidRPr="00C06083">
        <w:rPr>
          <w:rFonts w:cstheme="minorHAnsi"/>
        </w:rPr>
        <w:t>evidence</w:t>
      </w:r>
      <w:proofErr w:type="spellEnd"/>
      <w:r w:rsidRPr="00C06083">
        <w:rPr>
          <w:rFonts w:cstheme="minorHAnsi"/>
        </w:rPr>
        <w:t xml:space="preserve"> </w:t>
      </w:r>
      <w:r>
        <w:rPr>
          <w:rFonts w:cstheme="minorHAnsi"/>
        </w:rPr>
        <w:t xml:space="preserve">geeft </w:t>
      </w:r>
      <w:r w:rsidRPr="00C06083">
        <w:rPr>
          <w:rFonts w:cstheme="minorHAnsi"/>
        </w:rPr>
        <w:t xml:space="preserve">werken </w:t>
      </w:r>
      <w:r>
        <w:rPr>
          <w:rFonts w:cstheme="minorHAnsi"/>
        </w:rPr>
        <w:t>v</w:t>
      </w:r>
      <w:r w:rsidRPr="00C06083">
        <w:rPr>
          <w:rFonts w:cstheme="minorHAnsi"/>
        </w:rPr>
        <w:t>olgens richtlijnen voor verpleegkundigen het hoogst haalbare</w:t>
      </w:r>
      <w:r>
        <w:rPr>
          <w:rFonts w:cstheme="minorHAnsi"/>
        </w:rPr>
        <w:t xml:space="preserve"> eenduidigheid en daarmee kwaliteit</w:t>
      </w:r>
      <w:r w:rsidRPr="00C06083">
        <w:rPr>
          <w:rFonts w:cstheme="minorHAnsi"/>
        </w:rPr>
        <w:t xml:space="preserve">. Daarom is het van belang dat de verpleegkundige in staat is voor een patiënt richtlijnen </w:t>
      </w:r>
      <w:r>
        <w:rPr>
          <w:rFonts w:cstheme="minorHAnsi"/>
        </w:rPr>
        <w:t>te</w:t>
      </w:r>
      <w:r w:rsidRPr="00C06083">
        <w:rPr>
          <w:rFonts w:cstheme="minorHAnsi"/>
        </w:rPr>
        <w:t xml:space="preserve"> zoeken, beoordelen en toe te passen bij </w:t>
      </w:r>
      <w:r>
        <w:rPr>
          <w:rFonts w:cstheme="minorHAnsi"/>
        </w:rPr>
        <w:t>zijn</w:t>
      </w:r>
      <w:r w:rsidRPr="00C06083">
        <w:rPr>
          <w:rFonts w:cstheme="minorHAnsi"/>
        </w:rPr>
        <w:t xml:space="preserve"> specifieke situatie. Dit sluit aan bij de volgende competentie:  </w:t>
      </w:r>
    </w:p>
    <w:p w:rsidR="00092EA2" w:rsidRPr="00C06083" w:rsidRDefault="00092EA2" w:rsidP="00092EA2">
      <w:pPr>
        <w:rPr>
          <w:rFonts w:cstheme="minorHAnsi"/>
          <w:b/>
        </w:rPr>
      </w:pPr>
      <w:proofErr w:type="spellStart"/>
      <w:r>
        <w:rPr>
          <w:rFonts w:cstheme="minorHAnsi"/>
          <w:b/>
        </w:rPr>
        <w:t>CanMEDS</w:t>
      </w:r>
      <w:proofErr w:type="spellEnd"/>
      <w:r>
        <w:rPr>
          <w:rFonts w:cstheme="minorHAnsi"/>
          <w:b/>
        </w:rPr>
        <w:t>-</w:t>
      </w:r>
      <w:r w:rsidRPr="00C06083">
        <w:rPr>
          <w:rFonts w:cstheme="minorHAnsi"/>
          <w:b/>
        </w:rPr>
        <w:t xml:space="preserve">rol Reflectieve EBP-professional </w:t>
      </w:r>
    </w:p>
    <w:p w:rsidR="00092EA2" w:rsidRDefault="00092EA2" w:rsidP="00092EA2">
      <w:pPr>
        <w:rPr>
          <w:rFonts w:cstheme="minorHAnsi"/>
        </w:rPr>
      </w:pPr>
      <w:r w:rsidRPr="00C06083">
        <w:rPr>
          <w:rFonts w:cstheme="minorHAnsi"/>
        </w:rPr>
        <w:t xml:space="preserve">De verpleegkundige handelt vanuit een continu aanwezig onderzoekend vermogen leidend tot reflectie, </w:t>
      </w:r>
      <w:proofErr w:type="spellStart"/>
      <w:r w:rsidRPr="00C06083">
        <w:rPr>
          <w:rFonts w:cstheme="minorHAnsi"/>
        </w:rPr>
        <w:t>evidence-based</w:t>
      </w:r>
      <w:proofErr w:type="spellEnd"/>
      <w:r w:rsidRPr="00C06083">
        <w:rPr>
          <w:rFonts w:cstheme="minorHAnsi"/>
        </w:rPr>
        <w:t xml:space="preserve"> </w:t>
      </w:r>
      <w:proofErr w:type="spellStart"/>
      <w:r w:rsidRPr="00C06083">
        <w:rPr>
          <w:rFonts w:cstheme="minorHAnsi"/>
        </w:rPr>
        <w:t>practice</w:t>
      </w:r>
      <w:proofErr w:type="spellEnd"/>
      <w:r w:rsidRPr="00C06083">
        <w:rPr>
          <w:rFonts w:cstheme="minorHAnsi"/>
        </w:rPr>
        <w:t xml:space="preserve"> (EBP) en innovatie van de beroepspraktijk. Heeft een onderzoekende houding: is kritisch, wil begrijpen, bereiken, delen, vernieuwen en weten.</w:t>
      </w:r>
    </w:p>
    <w:p w:rsidR="00092EA2" w:rsidRDefault="00092EA2" w:rsidP="00092EA2">
      <w:pPr>
        <w:rPr>
          <w:rFonts w:cstheme="minorHAnsi"/>
          <w:b/>
        </w:rPr>
      </w:pPr>
      <w:proofErr w:type="spellStart"/>
      <w:r w:rsidRPr="00092EA2">
        <w:rPr>
          <w:rFonts w:cstheme="minorHAnsi"/>
          <w:b/>
        </w:rPr>
        <w:t>CanMEDS</w:t>
      </w:r>
      <w:proofErr w:type="spellEnd"/>
      <w:r w:rsidRPr="00092EA2">
        <w:rPr>
          <w:rFonts w:cstheme="minorHAnsi"/>
          <w:b/>
        </w:rPr>
        <w:t>-rol Zorgverlener</w:t>
      </w:r>
    </w:p>
    <w:p w:rsidR="00092EA2" w:rsidRDefault="00092EA2" w:rsidP="00092EA2">
      <w:r>
        <w:t xml:space="preserve">De verpleegkundige stelt op basis van klinisch redeneren de behoefte aan verpleegkundige zorg vast op lichamelijk, psychisch, functioneel en sociaal gebied, indiceert en verleent deze zorg in complexe situaties, volgens het verpleegkundig proces, op basis van </w:t>
      </w:r>
      <w:proofErr w:type="spellStart"/>
      <w:r>
        <w:t>evidence</w:t>
      </w:r>
      <w:proofErr w:type="spellEnd"/>
      <w:r>
        <w:t xml:space="preserve"> </w:t>
      </w:r>
      <w:proofErr w:type="spellStart"/>
      <w:r>
        <w:t>based</w:t>
      </w:r>
      <w:proofErr w:type="spellEnd"/>
      <w:r>
        <w:t xml:space="preserve"> </w:t>
      </w:r>
      <w:proofErr w:type="spellStart"/>
      <w:r>
        <w:t>practice</w:t>
      </w:r>
      <w:proofErr w:type="spellEnd"/>
      <w:r>
        <w:t>.</w:t>
      </w:r>
    </w:p>
    <w:p w:rsidR="00092EA2" w:rsidRDefault="00092EA2" w:rsidP="00092EA2">
      <w:r>
        <w:t>De verpleegkundige indiceert en voert verpleegtechnische (voorbehouden) handelingen uit op basis van zelfstandige bevoegdheid of functionele zelfstandigheid zoals beschreven in de wet big.</w:t>
      </w:r>
    </w:p>
    <w:p w:rsidR="00092EA2" w:rsidRPr="00092EA2" w:rsidRDefault="00092EA2" w:rsidP="00092EA2">
      <w:pPr>
        <w:rPr>
          <w:rFonts w:cstheme="minorHAnsi"/>
          <w:b/>
        </w:rPr>
      </w:pPr>
    </w:p>
    <w:p w:rsidR="00092EA2" w:rsidRDefault="00092EA2" w:rsidP="00092EA2">
      <w:pPr>
        <w:pStyle w:val="Kop2"/>
        <w:rPr>
          <w:rFonts w:asciiTheme="minorHAnsi" w:hAnsiTheme="minorHAnsi" w:cstheme="minorHAnsi"/>
          <w:color w:val="000000"/>
          <w:sz w:val="22"/>
          <w:szCs w:val="22"/>
          <w:shd w:val="clear" w:color="auto" w:fill="FFFFFF"/>
        </w:rPr>
      </w:pPr>
      <w:r w:rsidRPr="00C06083">
        <w:rPr>
          <w:rFonts w:asciiTheme="minorHAnsi" w:hAnsiTheme="minorHAnsi" w:cstheme="minorHAnsi"/>
          <w:sz w:val="22"/>
          <w:szCs w:val="22"/>
        </w:rPr>
        <w:t>Aanleiding onderwerp:</w:t>
      </w:r>
      <w:r w:rsidRPr="00C06083">
        <w:rPr>
          <w:rFonts w:asciiTheme="minorHAnsi" w:hAnsiTheme="minorHAnsi" w:cstheme="minorHAnsi"/>
          <w:color w:val="000000"/>
          <w:sz w:val="22"/>
          <w:szCs w:val="22"/>
        </w:rPr>
        <w:br/>
      </w:r>
    </w:p>
    <w:p w:rsidR="008B6D03" w:rsidRPr="00B65623" w:rsidRDefault="00E9019B" w:rsidP="00092EA2">
      <w:r w:rsidRPr="00B65623">
        <w:t xml:space="preserve">Decubitus is een complicatie die voorkomt in alle </w:t>
      </w:r>
      <w:proofErr w:type="spellStart"/>
      <w:r w:rsidRPr="00B65623">
        <w:t>gezondheidszorgsettings</w:t>
      </w:r>
      <w:proofErr w:type="spellEnd"/>
      <w:r w:rsidRPr="00B65623">
        <w:t xml:space="preserve">. </w:t>
      </w:r>
      <w:r w:rsidR="008B6D03" w:rsidRPr="00B65623">
        <w:t>D</w:t>
      </w:r>
      <w:r w:rsidRPr="00B65623">
        <w:t>e prevalentie van decubitus categorie II tot en met IV komt bij zorgvragers met een verhoogd risico decubitus het meest vaak voor in de academische ziekenhuizen (14,9%)</w:t>
      </w:r>
      <w:r w:rsidR="00BC02A7" w:rsidRPr="00B65623">
        <w:t>1</w:t>
      </w:r>
      <w:r w:rsidRPr="00B65623">
        <w:t xml:space="preserve">. Prevalentie- en incidentiecijfers zijn </w:t>
      </w:r>
      <w:r w:rsidR="008B6D03" w:rsidRPr="00B65623">
        <w:t>ho</w:t>
      </w:r>
      <w:r w:rsidRPr="00B65623">
        <w:t>ger bij p</w:t>
      </w:r>
      <w:r w:rsidR="008B6D03" w:rsidRPr="00B65623">
        <w:t>atiënten</w:t>
      </w:r>
      <w:r w:rsidRPr="00B65623">
        <w:t xml:space="preserve"> die palliatieve zorg ontvangen in een hospice</w:t>
      </w:r>
      <w:r w:rsidR="00BC02A7" w:rsidRPr="00B65623">
        <w:t>2,3</w:t>
      </w:r>
      <w:r w:rsidRPr="00B65623">
        <w:t>, met een dwarslaesie</w:t>
      </w:r>
      <w:r w:rsidR="00BC02A7" w:rsidRPr="00B65623">
        <w:t>4</w:t>
      </w:r>
      <w:r w:rsidRPr="00B65623">
        <w:t> en die op een intensive care afdeling liggen</w:t>
      </w:r>
      <w:r w:rsidR="00BC02A7" w:rsidRPr="00B65623">
        <w:t>5</w:t>
      </w:r>
      <w:r w:rsidRPr="00B65623">
        <w:t>. </w:t>
      </w:r>
    </w:p>
    <w:p w:rsidR="008B6D03" w:rsidRPr="00B65623" w:rsidRDefault="008B6D03" w:rsidP="00092EA2">
      <w:r w:rsidRPr="00B65623">
        <w:t>Decubitus vermindert de kwaliteit van leven, verhoogt ziekenhuiskosten door verlengde opnameduur en heropnames</w:t>
      </w:r>
      <w:r w:rsidR="00BC02A7" w:rsidRPr="00B65623">
        <w:t>6,7,</w:t>
      </w:r>
      <w:r w:rsidR="00FE4314" w:rsidRPr="00B65623">
        <w:t>8,9</w:t>
      </w:r>
      <w:r w:rsidRPr="00B65623">
        <w:t>. Diverse studies naar decubitus in het ziekenhuis toont een samenhang tussen hogere morbiditeit en mortaliteit</w:t>
      </w:r>
      <w:r w:rsidR="00BC02A7" w:rsidRPr="00B65623">
        <w:t>6,</w:t>
      </w:r>
      <w:r w:rsidR="00FE4314" w:rsidRPr="00B65623">
        <w:t>7,8,10</w:t>
      </w:r>
      <w:r w:rsidRPr="00B65623">
        <w:t>. Aandacht voor decubitus heeft zowel een grote wetenschappelijke als maatschappelijke waarde.</w:t>
      </w:r>
    </w:p>
    <w:p w:rsidR="008B6D03" w:rsidRPr="00B65623" w:rsidRDefault="008B6D03" w:rsidP="00092EA2">
      <w:r w:rsidRPr="00B65623">
        <w:t xml:space="preserve">Eenduidige en adequate </w:t>
      </w:r>
      <w:proofErr w:type="spellStart"/>
      <w:r w:rsidRPr="00B65623">
        <w:t>risicoinschatting</w:t>
      </w:r>
      <w:proofErr w:type="spellEnd"/>
      <w:r w:rsidRPr="00B65623">
        <w:t>, preventie en behandeling van decubitus geeft een lagere incidentie en prevalentie van decubitus. Het is van belang dit te bereiken door het verspreiden in implementeren van de richtlijn Decubitus.</w:t>
      </w:r>
    </w:p>
    <w:p w:rsidR="00092EA2" w:rsidRPr="00C06083" w:rsidRDefault="00092EA2" w:rsidP="00092EA2">
      <w:pPr>
        <w:pStyle w:val="Kop2"/>
        <w:rPr>
          <w:rFonts w:asciiTheme="minorHAnsi" w:hAnsiTheme="minorHAnsi" w:cstheme="minorHAnsi"/>
          <w:sz w:val="22"/>
          <w:szCs w:val="22"/>
        </w:rPr>
      </w:pPr>
      <w:r w:rsidRPr="00C06083">
        <w:rPr>
          <w:rFonts w:asciiTheme="minorHAnsi" w:hAnsiTheme="minorHAnsi" w:cstheme="minorHAnsi"/>
          <w:sz w:val="22"/>
          <w:szCs w:val="22"/>
        </w:rPr>
        <w:t>Richtlijn link:</w:t>
      </w:r>
    </w:p>
    <w:p w:rsidR="008B6D03" w:rsidRPr="00FE4314" w:rsidRDefault="00B65623" w:rsidP="00092EA2">
      <w:pPr>
        <w:pStyle w:val="Kop2"/>
        <w:rPr>
          <w:sz w:val="22"/>
          <w:szCs w:val="22"/>
        </w:rPr>
      </w:pPr>
      <w:hyperlink r:id="rId5" w:history="1">
        <w:r w:rsidR="005A3F0E" w:rsidRPr="00FE4314">
          <w:rPr>
            <w:rStyle w:val="Hyperlink"/>
            <w:sz w:val="22"/>
            <w:szCs w:val="22"/>
          </w:rPr>
          <w:t>https://www.oncoline.nl/decubitus</w:t>
        </w:r>
      </w:hyperlink>
    </w:p>
    <w:p w:rsidR="005A3F0E" w:rsidRPr="005A3F0E" w:rsidRDefault="005A3F0E" w:rsidP="005A3F0E"/>
    <w:p w:rsidR="00092EA2" w:rsidRPr="00C06083" w:rsidRDefault="00092EA2" w:rsidP="00092EA2">
      <w:pPr>
        <w:pStyle w:val="Kop2"/>
        <w:rPr>
          <w:rFonts w:asciiTheme="minorHAnsi" w:hAnsiTheme="minorHAnsi" w:cstheme="minorHAnsi"/>
          <w:sz w:val="22"/>
          <w:szCs w:val="22"/>
        </w:rPr>
      </w:pPr>
      <w:r w:rsidRPr="00C06083">
        <w:rPr>
          <w:rFonts w:asciiTheme="minorHAnsi" w:hAnsiTheme="minorHAnsi" w:cstheme="minorHAnsi"/>
          <w:sz w:val="22"/>
          <w:szCs w:val="22"/>
        </w:rPr>
        <w:lastRenderedPageBreak/>
        <w:t>Didactiek:</w:t>
      </w:r>
    </w:p>
    <w:p w:rsidR="00092EA2" w:rsidRDefault="00092EA2" w:rsidP="00092EA2">
      <w:pPr>
        <w:rPr>
          <w:rFonts w:cstheme="minorHAnsi"/>
        </w:rPr>
      </w:pPr>
      <w:r>
        <w:rPr>
          <w:rFonts w:cstheme="minorHAnsi"/>
        </w:rPr>
        <w:t xml:space="preserve">De richtlijn decubitus kan door de docent ingezet worden op verschillende plekken in het curriculum. Zo kan hij bij zowel </w:t>
      </w:r>
      <w:r w:rsidR="005A3F0E">
        <w:rPr>
          <w:rFonts w:cstheme="minorHAnsi"/>
        </w:rPr>
        <w:t xml:space="preserve">in de praktijklessen, klinisch redeneerlessen als in EBP lessen worden ingezet.  </w:t>
      </w:r>
    </w:p>
    <w:p w:rsidR="005A3F0E" w:rsidRDefault="005A3F0E" w:rsidP="00092EA2">
      <w:pPr>
        <w:rPr>
          <w:rFonts w:cstheme="minorHAnsi"/>
        </w:rPr>
      </w:pPr>
      <w:r>
        <w:rPr>
          <w:rFonts w:cstheme="minorHAnsi"/>
        </w:rPr>
        <w:t>Praktijklessen:</w:t>
      </w:r>
    </w:p>
    <w:p w:rsidR="005A3F0E" w:rsidRDefault="005A3F0E" w:rsidP="00092EA2">
      <w:pPr>
        <w:rPr>
          <w:rFonts w:cstheme="minorHAnsi"/>
        </w:rPr>
      </w:pPr>
      <w:r>
        <w:rPr>
          <w:rFonts w:cstheme="minorHAnsi"/>
        </w:rPr>
        <w:t xml:space="preserve">In de praktijklessen komt decubitus bij bijna alle onderdelen aan bod. Zo is er de standaard decubitus bij bedlegerige patiënten die aan bod komt bij bedhygiëne en mobilisatie, daarnaast komt decubitus aan bod bij drukplekken door maagsondes, </w:t>
      </w:r>
      <w:proofErr w:type="spellStart"/>
      <w:r>
        <w:rPr>
          <w:rFonts w:cstheme="minorHAnsi"/>
        </w:rPr>
        <w:t>catheters</w:t>
      </w:r>
      <w:proofErr w:type="spellEnd"/>
      <w:r>
        <w:rPr>
          <w:rFonts w:cstheme="minorHAnsi"/>
        </w:rPr>
        <w:t xml:space="preserve">, </w:t>
      </w:r>
      <w:proofErr w:type="spellStart"/>
      <w:r>
        <w:rPr>
          <w:rFonts w:cstheme="minorHAnsi"/>
        </w:rPr>
        <w:t>cuffs</w:t>
      </w:r>
      <w:proofErr w:type="spellEnd"/>
      <w:r>
        <w:rPr>
          <w:rFonts w:cstheme="minorHAnsi"/>
        </w:rPr>
        <w:t xml:space="preserve"> van </w:t>
      </w:r>
      <w:proofErr w:type="spellStart"/>
      <w:r>
        <w:rPr>
          <w:rFonts w:cstheme="minorHAnsi"/>
        </w:rPr>
        <w:t>tracheostoma’s</w:t>
      </w:r>
      <w:proofErr w:type="spellEnd"/>
      <w:r>
        <w:rPr>
          <w:rFonts w:cstheme="minorHAnsi"/>
        </w:rPr>
        <w:t xml:space="preserve"> enz. De richtlijn decubitus kan hierbij worden ingezet door landelijk in de les een </w:t>
      </w:r>
      <w:r w:rsidRPr="005A3F0E">
        <w:rPr>
          <w:rFonts w:cstheme="minorHAnsi"/>
          <w:b/>
        </w:rPr>
        <w:t>eenduidige</w:t>
      </w:r>
      <w:r>
        <w:rPr>
          <w:rFonts w:cstheme="minorHAnsi"/>
        </w:rPr>
        <w:t xml:space="preserve"> decubitusscore, preventieve maatregels en behandeling aan te leren.  </w:t>
      </w:r>
    </w:p>
    <w:p w:rsidR="00092EA2" w:rsidRDefault="00092EA2" w:rsidP="00092EA2">
      <w:pPr>
        <w:rPr>
          <w:rFonts w:cstheme="minorHAnsi"/>
        </w:rPr>
      </w:pPr>
      <w:r>
        <w:rPr>
          <w:rFonts w:cstheme="minorHAnsi"/>
        </w:rPr>
        <w:t>EBP:</w:t>
      </w:r>
    </w:p>
    <w:p w:rsidR="005A3F0E" w:rsidRDefault="005A3F0E" w:rsidP="00092EA2">
      <w:pPr>
        <w:rPr>
          <w:rFonts w:cstheme="minorHAnsi"/>
        </w:rPr>
      </w:pPr>
      <w:r>
        <w:rPr>
          <w:rFonts w:cstheme="minorHAnsi"/>
        </w:rPr>
        <w:t>Decubitus is een van de weinige onderwerpen waarover heel veel literatuur te vinden is. Deze literatuur geeft veelal verschillende uitkomsten. Een student dient in staat te zijn te kunnen beoordelen welke decubitus literatuur wel en niet te gebruiken.</w:t>
      </w:r>
    </w:p>
    <w:p w:rsidR="00092EA2" w:rsidRDefault="00092EA2" w:rsidP="00092EA2">
      <w:pPr>
        <w:rPr>
          <w:rFonts w:cstheme="minorHAnsi"/>
        </w:rPr>
      </w:pPr>
      <w:r>
        <w:rPr>
          <w:rFonts w:cstheme="minorHAnsi"/>
        </w:rPr>
        <w:t>Bij het vak EBP in het curriculum dient een student in staat te zijn om een richtlijn te beoordelen op de volgende aspecten:</w:t>
      </w:r>
    </w:p>
    <w:p w:rsidR="00092EA2" w:rsidRDefault="00092EA2" w:rsidP="00092EA2">
      <w:pPr>
        <w:pStyle w:val="Lijstalinea"/>
        <w:numPr>
          <w:ilvl w:val="0"/>
          <w:numId w:val="1"/>
        </w:numPr>
        <w:rPr>
          <w:rFonts w:cstheme="minorHAnsi"/>
        </w:rPr>
      </w:pPr>
      <w:proofErr w:type="spellStart"/>
      <w:r>
        <w:rPr>
          <w:rFonts w:cstheme="minorHAnsi"/>
        </w:rPr>
        <w:t>Effectsize</w:t>
      </w:r>
      <w:proofErr w:type="spellEnd"/>
      <w:r>
        <w:rPr>
          <w:rFonts w:cstheme="minorHAnsi"/>
        </w:rPr>
        <w:t xml:space="preserve"> </w:t>
      </w:r>
    </w:p>
    <w:p w:rsidR="00092EA2" w:rsidRPr="00C06083" w:rsidRDefault="00092EA2" w:rsidP="00092EA2">
      <w:pPr>
        <w:pStyle w:val="Lijstalinea"/>
        <w:numPr>
          <w:ilvl w:val="0"/>
          <w:numId w:val="1"/>
        </w:numPr>
        <w:rPr>
          <w:rFonts w:cstheme="minorHAnsi"/>
        </w:rPr>
      </w:pPr>
      <w:r w:rsidRPr="00C06083">
        <w:rPr>
          <w:rFonts w:cstheme="minorHAnsi"/>
        </w:rPr>
        <w:t>Betrouwbaarheid</w:t>
      </w:r>
    </w:p>
    <w:p w:rsidR="00092EA2" w:rsidRPr="00C06083" w:rsidRDefault="00092EA2" w:rsidP="00092EA2">
      <w:pPr>
        <w:pStyle w:val="Lijstalinea"/>
        <w:numPr>
          <w:ilvl w:val="0"/>
          <w:numId w:val="1"/>
        </w:numPr>
        <w:rPr>
          <w:rFonts w:cstheme="minorHAnsi"/>
        </w:rPr>
      </w:pPr>
      <w:r w:rsidRPr="00C06083">
        <w:rPr>
          <w:rFonts w:cstheme="minorHAnsi"/>
        </w:rPr>
        <w:t>Generaliseerbaarheid</w:t>
      </w:r>
    </w:p>
    <w:p w:rsidR="005A3F0E" w:rsidRDefault="005A3F0E" w:rsidP="00092EA2">
      <w:pPr>
        <w:rPr>
          <w:rFonts w:cstheme="minorHAnsi"/>
        </w:rPr>
      </w:pPr>
      <w:r>
        <w:rPr>
          <w:rFonts w:cstheme="minorHAnsi"/>
        </w:rPr>
        <w:t xml:space="preserve">In de richtlijn Decubitus kan de student zien dat deze gebaseerd is op grotere onderzoeken. </w:t>
      </w:r>
      <w:r w:rsidR="00BC02A7">
        <w:rPr>
          <w:rFonts w:cstheme="minorHAnsi"/>
        </w:rPr>
        <w:t xml:space="preserve">Het is fijn om deze richtlijn naast een decubitusonderzoek te houden waarbij de oudere antidecubitus </w:t>
      </w:r>
      <w:proofErr w:type="spellStart"/>
      <w:r w:rsidR="00BC02A7">
        <w:rPr>
          <w:rFonts w:cstheme="minorHAnsi"/>
        </w:rPr>
        <w:t>maatregeles</w:t>
      </w:r>
      <w:proofErr w:type="spellEnd"/>
      <w:r w:rsidR="00BC02A7">
        <w:rPr>
          <w:rFonts w:cstheme="minorHAnsi"/>
        </w:rPr>
        <w:t xml:space="preserve"> worden getroffen. Op die manier is de opbouw en de betrouwbaarheid van de </w:t>
      </w:r>
      <w:proofErr w:type="spellStart"/>
      <w:r w:rsidR="00BC02A7">
        <w:rPr>
          <w:rFonts w:cstheme="minorHAnsi"/>
        </w:rPr>
        <w:t>richtlijk</w:t>
      </w:r>
      <w:proofErr w:type="spellEnd"/>
      <w:r w:rsidR="00BC02A7">
        <w:rPr>
          <w:rFonts w:cstheme="minorHAnsi"/>
        </w:rPr>
        <w:t xml:space="preserve"> duidelijk zichtbaar voor een student. </w:t>
      </w:r>
    </w:p>
    <w:p w:rsidR="00092EA2" w:rsidRDefault="00092EA2" w:rsidP="00092EA2">
      <w:pPr>
        <w:rPr>
          <w:rFonts w:cstheme="minorHAnsi"/>
        </w:rPr>
      </w:pPr>
      <w:r>
        <w:rPr>
          <w:rFonts w:cstheme="minorHAnsi"/>
        </w:rPr>
        <w:t>Klinisch redeneren en casestudy:</w:t>
      </w:r>
    </w:p>
    <w:p w:rsidR="00092EA2" w:rsidRDefault="00092EA2" w:rsidP="00092EA2">
      <w:pPr>
        <w:rPr>
          <w:rFonts w:cstheme="minorHAnsi"/>
        </w:rPr>
      </w:pPr>
      <w:r>
        <w:rPr>
          <w:rFonts w:cstheme="minorHAnsi"/>
        </w:rPr>
        <w:t>Bij klinisch redeneren in de vorm van een casestudy gaat het om een specifieke patiënt in een specifieke situatie. De student dient in staat te zijn om een richtlijn te beoordelen op:</w:t>
      </w:r>
    </w:p>
    <w:p w:rsidR="00092EA2" w:rsidRPr="00990BF5" w:rsidRDefault="00092EA2" w:rsidP="00092EA2">
      <w:pPr>
        <w:pStyle w:val="Lijstalinea"/>
        <w:numPr>
          <w:ilvl w:val="0"/>
          <w:numId w:val="2"/>
        </w:numPr>
        <w:rPr>
          <w:rFonts w:cstheme="minorHAnsi"/>
        </w:rPr>
      </w:pPr>
      <w:r w:rsidRPr="00990BF5">
        <w:rPr>
          <w:rFonts w:cstheme="minorHAnsi"/>
        </w:rPr>
        <w:t xml:space="preserve">Toepasbaarheid </w:t>
      </w:r>
    </w:p>
    <w:p w:rsidR="00092EA2" w:rsidRDefault="00092EA2" w:rsidP="00092EA2">
      <w:pPr>
        <w:pStyle w:val="Lijstalinea"/>
        <w:numPr>
          <w:ilvl w:val="0"/>
          <w:numId w:val="2"/>
        </w:numPr>
        <w:rPr>
          <w:rFonts w:cstheme="minorHAnsi"/>
        </w:rPr>
      </w:pPr>
      <w:r w:rsidRPr="00990BF5">
        <w:rPr>
          <w:rFonts w:cstheme="minorHAnsi"/>
        </w:rPr>
        <w:t>Haalbaarheid</w:t>
      </w:r>
    </w:p>
    <w:p w:rsidR="00092EA2" w:rsidRDefault="00092EA2" w:rsidP="00092EA2">
      <w:pPr>
        <w:rPr>
          <w:rFonts w:cstheme="minorHAnsi"/>
        </w:rPr>
      </w:pPr>
      <w:r>
        <w:rPr>
          <w:rFonts w:cstheme="minorHAnsi"/>
        </w:rPr>
        <w:t>De student dient in staat te zijn bij een patiënt  verpleegkundige diagnose</w:t>
      </w:r>
      <w:r w:rsidR="00BC02A7">
        <w:rPr>
          <w:rFonts w:cstheme="minorHAnsi"/>
        </w:rPr>
        <w:t xml:space="preserve"> decubitus</w:t>
      </w:r>
      <w:r>
        <w:rPr>
          <w:rFonts w:cstheme="minorHAnsi"/>
        </w:rPr>
        <w:t xml:space="preserve"> te stellen. </w:t>
      </w:r>
      <w:r w:rsidR="00BC02A7">
        <w:rPr>
          <w:rFonts w:cstheme="minorHAnsi"/>
        </w:rPr>
        <w:t>D</w:t>
      </w:r>
      <w:r>
        <w:rPr>
          <w:rFonts w:cstheme="minorHAnsi"/>
        </w:rPr>
        <w:t>e stude</w:t>
      </w:r>
      <w:bookmarkStart w:id="0" w:name="_GoBack"/>
      <w:bookmarkEnd w:id="0"/>
      <w:r>
        <w:rPr>
          <w:rFonts w:cstheme="minorHAnsi"/>
        </w:rPr>
        <w:t xml:space="preserve">nt </w:t>
      </w:r>
      <w:r w:rsidR="00BC02A7">
        <w:rPr>
          <w:rFonts w:cstheme="minorHAnsi"/>
        </w:rPr>
        <w:t xml:space="preserve">dient </w:t>
      </w:r>
      <w:r>
        <w:rPr>
          <w:rFonts w:cstheme="minorHAnsi"/>
        </w:rPr>
        <w:t>in staat</w:t>
      </w:r>
      <w:r w:rsidR="00BC02A7">
        <w:rPr>
          <w:rFonts w:cstheme="minorHAnsi"/>
        </w:rPr>
        <w:t xml:space="preserve"> te zijn de richtlijn</w:t>
      </w:r>
      <w:r>
        <w:rPr>
          <w:rFonts w:cstheme="minorHAnsi"/>
        </w:rPr>
        <w:t xml:space="preserve"> te vinden </w:t>
      </w:r>
      <w:r w:rsidR="00BC02A7">
        <w:rPr>
          <w:rFonts w:cstheme="minorHAnsi"/>
        </w:rPr>
        <w:t xml:space="preserve">en </w:t>
      </w:r>
      <w:r>
        <w:rPr>
          <w:rFonts w:cstheme="minorHAnsi"/>
        </w:rPr>
        <w:t xml:space="preserve">voor een specifieke patiënt in een specifieke situatie te beredeneren welke van de genoemde interventies </w:t>
      </w:r>
      <w:r w:rsidR="00BC02A7">
        <w:rPr>
          <w:rFonts w:cstheme="minorHAnsi"/>
        </w:rPr>
        <w:t xml:space="preserve">uit de richtlijn </w:t>
      </w:r>
      <w:r>
        <w:rPr>
          <w:rFonts w:cstheme="minorHAnsi"/>
        </w:rPr>
        <w:t xml:space="preserve">toepasbaar zijn bij deze patiënt en situatie. </w:t>
      </w:r>
    </w:p>
    <w:p w:rsidR="00092EA2" w:rsidRPr="00990BF5" w:rsidRDefault="00092EA2" w:rsidP="00092EA2">
      <w:pPr>
        <w:rPr>
          <w:rFonts w:cstheme="minorHAnsi"/>
        </w:rPr>
      </w:pPr>
      <w:r>
        <w:rPr>
          <w:rFonts w:cstheme="minorHAnsi"/>
        </w:rPr>
        <w:t xml:space="preserve">Zo kan het zijn dat de patiënt andere pathologische aandoeningen heeft waardoor een bepaalde interventie perfect zou werken bij </w:t>
      </w:r>
      <w:r w:rsidR="00BC02A7">
        <w:rPr>
          <w:rFonts w:cstheme="minorHAnsi"/>
        </w:rPr>
        <w:t>decubitus</w:t>
      </w:r>
      <w:r>
        <w:rPr>
          <w:rFonts w:cstheme="minorHAnsi"/>
        </w:rPr>
        <w:t xml:space="preserve">, maar niet bij deze specifieke patiënt. De student dient te kunnen redeneren waarom een interventie wel of niet toepasbaar en haalbaar is bij de patiënt. Het kan zijn dat de instelling, financiële situatie, geloofsovertuigingen maken dat een interventie wel of niet haalbaar is bij een patiënt. Deze overwegingen dient de student te kunnen beredeneren bij het gebruiken van een richtlijn.       </w:t>
      </w:r>
      <w:r w:rsidRPr="00990BF5">
        <w:rPr>
          <w:rFonts w:cstheme="minorHAnsi"/>
        </w:rPr>
        <w:t xml:space="preserve">      </w:t>
      </w:r>
    </w:p>
    <w:p w:rsidR="00092EA2" w:rsidRDefault="00092EA2" w:rsidP="00092EA2">
      <w:pPr>
        <w:rPr>
          <w:rFonts w:cstheme="minorHAnsi"/>
        </w:rPr>
      </w:pPr>
    </w:p>
    <w:p w:rsidR="00BC02A7" w:rsidRPr="00C06083" w:rsidRDefault="00BC02A7" w:rsidP="00092EA2">
      <w:pPr>
        <w:rPr>
          <w:rFonts w:cstheme="minorHAnsi"/>
        </w:rPr>
      </w:pPr>
    </w:p>
    <w:p w:rsidR="002F5215" w:rsidRDefault="005A3F0E" w:rsidP="005A3F0E">
      <w:pPr>
        <w:pStyle w:val="Kop2"/>
        <w:rPr>
          <w:rFonts w:asciiTheme="minorHAnsi" w:hAnsiTheme="minorHAnsi" w:cstheme="minorHAnsi"/>
          <w:sz w:val="22"/>
          <w:szCs w:val="22"/>
        </w:rPr>
      </w:pPr>
      <w:r w:rsidRPr="005A3F0E">
        <w:rPr>
          <w:rFonts w:asciiTheme="minorHAnsi" w:hAnsiTheme="minorHAnsi" w:cstheme="minorHAnsi"/>
          <w:sz w:val="22"/>
          <w:szCs w:val="22"/>
        </w:rPr>
        <w:lastRenderedPageBreak/>
        <w:t>Bronnen:</w:t>
      </w:r>
    </w:p>
    <w:p w:rsidR="00BC02A7" w:rsidRDefault="00BC02A7" w:rsidP="00BC02A7">
      <w:pPr>
        <w:pStyle w:val="Geenafstand"/>
        <w:rPr>
          <w:shd w:val="clear" w:color="auto" w:fill="F6F6F6"/>
        </w:rPr>
      </w:pPr>
      <w:r>
        <w:rPr>
          <w:shd w:val="clear" w:color="auto" w:fill="F6F6F6"/>
        </w:rPr>
        <w:t>1.</w:t>
      </w:r>
      <w:r w:rsidRPr="00BC02A7">
        <w:rPr>
          <w:shd w:val="clear" w:color="auto" w:fill="F6F6F6"/>
        </w:rPr>
        <w:t xml:space="preserve">Halfens RJG, Meijers JMM, Du </w:t>
      </w:r>
      <w:proofErr w:type="spellStart"/>
      <w:r w:rsidRPr="00BC02A7">
        <w:rPr>
          <w:shd w:val="clear" w:color="auto" w:fill="F6F6F6"/>
        </w:rPr>
        <w:t>Moulin</w:t>
      </w:r>
      <w:proofErr w:type="spellEnd"/>
      <w:r w:rsidRPr="00BC02A7">
        <w:rPr>
          <w:shd w:val="clear" w:color="auto" w:fill="F6F6F6"/>
        </w:rPr>
        <w:t xml:space="preserve"> MFMT, Van Nie NC, Neyens JCL, Schols JMGA, </w:t>
      </w:r>
      <w:proofErr w:type="spellStart"/>
      <w:r w:rsidRPr="00BC02A7">
        <w:rPr>
          <w:shd w:val="clear" w:color="auto" w:fill="F6F6F6"/>
        </w:rPr>
        <w:t>Rijcke</w:t>
      </w:r>
      <w:proofErr w:type="spellEnd"/>
      <w:r w:rsidRPr="00BC02A7">
        <w:rPr>
          <w:shd w:val="clear" w:color="auto" w:fill="F6F6F6"/>
        </w:rPr>
        <w:t xml:space="preserve"> S. </w:t>
      </w:r>
    </w:p>
    <w:p w:rsidR="00BC02A7" w:rsidRPr="00B65623" w:rsidRDefault="00BC02A7" w:rsidP="00BC02A7">
      <w:pPr>
        <w:pStyle w:val="Geenafstand"/>
        <w:rPr>
          <w:shd w:val="clear" w:color="auto" w:fill="F6F6F6"/>
          <w:lang w:val="en-US"/>
        </w:rPr>
      </w:pPr>
      <w:r w:rsidRPr="00BC02A7">
        <w:rPr>
          <w:shd w:val="clear" w:color="auto" w:fill="F6F6F6"/>
        </w:rPr>
        <w:t xml:space="preserve">Landelijke Prevalentiemeting Zorgproblemen: rapportage resultaten 2010. </w:t>
      </w:r>
      <w:r w:rsidRPr="00B65623">
        <w:rPr>
          <w:shd w:val="clear" w:color="auto" w:fill="F6F6F6"/>
          <w:lang w:val="en-US"/>
        </w:rPr>
        <w:t xml:space="preserve">Maastricht: Universiteit Maastricht. 2010. </w:t>
      </w:r>
    </w:p>
    <w:p w:rsidR="00BC02A7" w:rsidRPr="00B65623" w:rsidRDefault="00BC02A7" w:rsidP="00BC02A7">
      <w:pPr>
        <w:pStyle w:val="Geenafstand"/>
        <w:rPr>
          <w:shd w:val="clear" w:color="auto" w:fill="F6F6F6"/>
          <w:lang w:val="en-US"/>
        </w:rPr>
      </w:pPr>
    </w:p>
    <w:p w:rsidR="00BC02A7" w:rsidRPr="00B65623" w:rsidRDefault="00BC02A7" w:rsidP="00BC02A7">
      <w:pPr>
        <w:pStyle w:val="Geenafstand"/>
        <w:rPr>
          <w:shd w:val="clear" w:color="auto" w:fill="F6F6F6"/>
          <w:lang w:val="en-US"/>
        </w:rPr>
      </w:pPr>
      <w:r>
        <w:rPr>
          <w:shd w:val="clear" w:color="auto" w:fill="F6F6F6"/>
          <w:lang w:val="en-US"/>
        </w:rPr>
        <w:t>2.</w:t>
      </w:r>
      <w:r w:rsidRPr="00BC02A7">
        <w:rPr>
          <w:shd w:val="clear" w:color="auto" w:fill="F6F6F6"/>
          <w:lang w:val="en-US"/>
        </w:rPr>
        <w:t xml:space="preserve">Reifsnyder J, Magee HS. Development of pressure ulcers in patients receiving home hospice care. </w:t>
      </w:r>
      <w:r w:rsidRPr="00B65623">
        <w:rPr>
          <w:shd w:val="clear" w:color="auto" w:fill="F6F6F6"/>
          <w:lang w:val="en-US"/>
        </w:rPr>
        <w:t>Wounds. 2005; 17(4); 74-9</w:t>
      </w:r>
    </w:p>
    <w:p w:rsidR="00BC02A7" w:rsidRDefault="00BC02A7" w:rsidP="00BC02A7">
      <w:pPr>
        <w:pStyle w:val="Geenafstand"/>
        <w:rPr>
          <w:shd w:val="clear" w:color="auto" w:fill="F6F6F6"/>
          <w:lang w:val="en-US"/>
        </w:rPr>
      </w:pPr>
    </w:p>
    <w:p w:rsidR="00BC02A7" w:rsidRPr="00BC02A7" w:rsidRDefault="00BC02A7" w:rsidP="00BC02A7">
      <w:pPr>
        <w:pStyle w:val="Geenafstand"/>
        <w:rPr>
          <w:shd w:val="clear" w:color="auto" w:fill="F6F6F6"/>
          <w:lang w:val="en-US"/>
        </w:rPr>
      </w:pPr>
      <w:r>
        <w:rPr>
          <w:shd w:val="clear" w:color="auto" w:fill="F6F6F6"/>
          <w:lang w:val="en-US"/>
        </w:rPr>
        <w:t>3.</w:t>
      </w:r>
      <w:r w:rsidRPr="00BC02A7">
        <w:rPr>
          <w:shd w:val="clear" w:color="auto" w:fill="F6F6F6"/>
          <w:lang w:val="en-US"/>
        </w:rPr>
        <w:t>Tippett AW, Wounds at the end of life. Wounds. 2005; 17(4):91-8.</w:t>
      </w:r>
    </w:p>
    <w:p w:rsidR="00BC02A7" w:rsidRDefault="00BC02A7" w:rsidP="00BC02A7">
      <w:pPr>
        <w:pStyle w:val="Geenafstand"/>
        <w:rPr>
          <w:shd w:val="clear" w:color="auto" w:fill="F6F6F6"/>
          <w:lang w:val="en-US"/>
        </w:rPr>
      </w:pPr>
    </w:p>
    <w:p w:rsidR="00BC02A7" w:rsidRPr="00B65623" w:rsidRDefault="00BC02A7" w:rsidP="00BC02A7">
      <w:pPr>
        <w:pStyle w:val="Geenafstand"/>
        <w:rPr>
          <w:lang w:val="en-US"/>
        </w:rPr>
      </w:pPr>
      <w:r>
        <w:rPr>
          <w:shd w:val="clear" w:color="auto" w:fill="F6F6F6"/>
          <w:lang w:val="en-US"/>
        </w:rPr>
        <w:t>4.</w:t>
      </w:r>
      <w:r w:rsidRPr="00BC02A7">
        <w:rPr>
          <w:shd w:val="clear" w:color="auto" w:fill="F6F6F6"/>
          <w:lang w:val="en-US"/>
        </w:rPr>
        <w:t xml:space="preserve">Ashford R, Plant G, Maher J, </w:t>
      </w:r>
      <w:proofErr w:type="spellStart"/>
      <w:r w:rsidRPr="00BC02A7">
        <w:rPr>
          <w:shd w:val="clear" w:color="auto" w:fill="F6F6F6"/>
          <w:lang w:val="en-US"/>
        </w:rPr>
        <w:t>Teare</w:t>
      </w:r>
      <w:proofErr w:type="spellEnd"/>
      <w:r w:rsidRPr="00BC02A7">
        <w:rPr>
          <w:shd w:val="clear" w:color="auto" w:fill="F6F6F6"/>
          <w:lang w:val="en-US"/>
        </w:rPr>
        <w:t xml:space="preserve"> L. Double-blind trial of metronidazole in malodorous ulcerating </w:t>
      </w:r>
      <w:proofErr w:type="spellStart"/>
      <w:r w:rsidRPr="00BC02A7">
        <w:rPr>
          <w:shd w:val="clear" w:color="auto" w:fill="F6F6F6"/>
          <w:lang w:val="en-US"/>
        </w:rPr>
        <w:t>tumours</w:t>
      </w:r>
      <w:proofErr w:type="spellEnd"/>
      <w:r w:rsidRPr="00BC02A7">
        <w:rPr>
          <w:shd w:val="clear" w:color="auto" w:fill="F6F6F6"/>
          <w:lang w:val="en-US"/>
        </w:rPr>
        <w:t>.</w:t>
      </w:r>
      <w:hyperlink r:id="rId6" w:tgtFrame="_blank" w:history="1">
        <w:r w:rsidRPr="00BC02A7">
          <w:rPr>
            <w:rStyle w:val="Hyperlink"/>
            <w:rFonts w:ascii="Arial" w:hAnsi="Arial" w:cs="Arial"/>
            <w:color w:val="auto"/>
            <w:sz w:val="20"/>
            <w:szCs w:val="20"/>
            <w:u w:val="none"/>
            <w:lang w:val="en-US"/>
          </w:rPr>
          <w:t> Lancet. 1984;1(8388):1232-3.</w:t>
        </w:r>
      </w:hyperlink>
    </w:p>
    <w:p w:rsidR="00BC02A7" w:rsidRPr="00B65623" w:rsidRDefault="00BC02A7" w:rsidP="00BC02A7">
      <w:pPr>
        <w:pStyle w:val="Geenafstand"/>
        <w:rPr>
          <w:lang w:val="en-US"/>
        </w:rPr>
      </w:pPr>
    </w:p>
    <w:p w:rsidR="00BC02A7" w:rsidRPr="00FE4314" w:rsidRDefault="00BC02A7" w:rsidP="00BC02A7">
      <w:pPr>
        <w:pStyle w:val="Geenafstand"/>
        <w:rPr>
          <w:shd w:val="clear" w:color="auto" w:fill="F6F6F6"/>
          <w:lang w:val="en-US"/>
        </w:rPr>
      </w:pPr>
      <w:r w:rsidRPr="00FE4314">
        <w:rPr>
          <w:shd w:val="clear" w:color="auto" w:fill="F6F6F6"/>
          <w:lang w:val="en-US"/>
        </w:rPr>
        <w:t xml:space="preserve">5. Shahin ESM, </w:t>
      </w:r>
      <w:proofErr w:type="spellStart"/>
      <w:r w:rsidRPr="00FE4314">
        <w:rPr>
          <w:shd w:val="clear" w:color="auto" w:fill="F6F6F6"/>
          <w:lang w:val="en-US"/>
        </w:rPr>
        <w:t>Dassen</w:t>
      </w:r>
      <w:proofErr w:type="spellEnd"/>
      <w:r w:rsidRPr="00FE4314">
        <w:rPr>
          <w:shd w:val="clear" w:color="auto" w:fill="F6F6F6"/>
          <w:lang w:val="en-US"/>
        </w:rPr>
        <w:t xml:space="preserve"> T, </w:t>
      </w:r>
      <w:proofErr w:type="spellStart"/>
      <w:r w:rsidRPr="00FE4314">
        <w:rPr>
          <w:shd w:val="clear" w:color="auto" w:fill="F6F6F6"/>
          <w:lang w:val="en-US"/>
        </w:rPr>
        <w:t>Halfens</w:t>
      </w:r>
      <w:proofErr w:type="spellEnd"/>
      <w:r w:rsidRPr="00FE4314">
        <w:rPr>
          <w:shd w:val="clear" w:color="auto" w:fill="F6F6F6"/>
          <w:lang w:val="en-US"/>
        </w:rPr>
        <w:t xml:space="preserve"> RJG. Pressure ulcer prevalence and incidence in intensive care patients: a literature review. </w:t>
      </w:r>
      <w:hyperlink r:id="rId7" w:tgtFrame="_blank" w:history="1">
        <w:r w:rsidRPr="00FE4314">
          <w:rPr>
            <w:shd w:val="clear" w:color="auto" w:fill="F6F6F6"/>
            <w:lang w:val="en-US"/>
          </w:rPr>
          <w:t>Nursing In Critical Care. 2008; 13 (2):71-9</w:t>
        </w:r>
      </w:hyperlink>
      <w:r w:rsidRPr="00FE4314">
        <w:rPr>
          <w:shd w:val="clear" w:color="auto" w:fill="F6F6F6"/>
          <w:lang w:val="en-US"/>
        </w:rPr>
        <w:t>.</w:t>
      </w:r>
    </w:p>
    <w:p w:rsidR="00BC02A7" w:rsidRPr="00FE4314" w:rsidRDefault="00BC02A7" w:rsidP="00BC02A7">
      <w:pPr>
        <w:pStyle w:val="Geenafstand"/>
        <w:rPr>
          <w:shd w:val="clear" w:color="auto" w:fill="F6F6F6"/>
          <w:lang w:val="en-US"/>
        </w:rPr>
      </w:pPr>
    </w:p>
    <w:p w:rsidR="00BC02A7" w:rsidRPr="00FE4314" w:rsidRDefault="00BC02A7" w:rsidP="00BC02A7">
      <w:pPr>
        <w:pStyle w:val="Geenafstand"/>
        <w:rPr>
          <w:shd w:val="clear" w:color="auto" w:fill="F6F6F6"/>
          <w:lang w:val="en-US"/>
        </w:rPr>
      </w:pPr>
      <w:r w:rsidRPr="00FE4314">
        <w:rPr>
          <w:shd w:val="clear" w:color="auto" w:fill="F6F6F6"/>
          <w:lang w:val="en-US"/>
        </w:rPr>
        <w:t xml:space="preserve">6.Allman RM, Goode PS, Burst N, </w:t>
      </w:r>
      <w:proofErr w:type="spellStart"/>
      <w:r w:rsidRPr="00FE4314">
        <w:rPr>
          <w:shd w:val="clear" w:color="auto" w:fill="F6F6F6"/>
          <w:lang w:val="en-US"/>
        </w:rPr>
        <w:t>Bartolucci</w:t>
      </w:r>
      <w:proofErr w:type="spellEnd"/>
      <w:r w:rsidRPr="00FE4314">
        <w:rPr>
          <w:shd w:val="clear" w:color="auto" w:fill="F6F6F6"/>
          <w:lang w:val="en-US"/>
        </w:rPr>
        <w:t xml:space="preserve"> AA, Thomas DR. Pressure ulcers, hospital complications, and disease severity; impact on hospital costs and length of stay. </w:t>
      </w:r>
      <w:hyperlink r:id="rId8" w:tgtFrame="_blank" w:history="1">
        <w:r w:rsidRPr="00FE4314">
          <w:rPr>
            <w:shd w:val="clear" w:color="auto" w:fill="F6F6F6"/>
            <w:lang w:val="en-US"/>
          </w:rPr>
          <w:t>Adv Wound Care 1999; 12(1): 22-30</w:t>
        </w:r>
      </w:hyperlink>
    </w:p>
    <w:p w:rsidR="00BC02A7" w:rsidRPr="00FE4314" w:rsidRDefault="00BC02A7" w:rsidP="00BC02A7">
      <w:pPr>
        <w:pStyle w:val="Geenafstand"/>
        <w:rPr>
          <w:shd w:val="clear" w:color="auto" w:fill="F6F6F6"/>
          <w:lang w:val="en-US"/>
        </w:rPr>
      </w:pPr>
    </w:p>
    <w:p w:rsidR="00BC02A7" w:rsidRPr="00FE4314" w:rsidRDefault="00BC02A7" w:rsidP="00BC02A7">
      <w:pPr>
        <w:pStyle w:val="Geenafstand"/>
        <w:rPr>
          <w:shd w:val="clear" w:color="auto" w:fill="F6F6F6"/>
          <w:lang w:val="en-US"/>
        </w:rPr>
      </w:pPr>
      <w:r w:rsidRPr="00FE4314">
        <w:rPr>
          <w:shd w:val="clear" w:color="auto" w:fill="F6F6F6"/>
          <w:lang w:val="en-US"/>
        </w:rPr>
        <w:t xml:space="preserve">7. Allman RM, </w:t>
      </w:r>
      <w:proofErr w:type="spellStart"/>
      <w:r w:rsidRPr="00FE4314">
        <w:rPr>
          <w:shd w:val="clear" w:color="auto" w:fill="F6F6F6"/>
          <w:lang w:val="en-US"/>
        </w:rPr>
        <w:t>Laprade</w:t>
      </w:r>
      <w:proofErr w:type="spellEnd"/>
      <w:r w:rsidRPr="00FE4314">
        <w:rPr>
          <w:shd w:val="clear" w:color="auto" w:fill="F6F6F6"/>
          <w:lang w:val="en-US"/>
        </w:rPr>
        <w:t xml:space="preserve"> CA, Noel LB, Walker JM, </w:t>
      </w:r>
      <w:proofErr w:type="spellStart"/>
      <w:r w:rsidRPr="00FE4314">
        <w:rPr>
          <w:shd w:val="clear" w:color="auto" w:fill="F6F6F6"/>
          <w:lang w:val="en-US"/>
        </w:rPr>
        <w:t>Moorer</w:t>
      </w:r>
      <w:proofErr w:type="spellEnd"/>
      <w:r w:rsidRPr="00FE4314">
        <w:rPr>
          <w:shd w:val="clear" w:color="auto" w:fill="F6F6F6"/>
          <w:lang w:val="en-US"/>
        </w:rPr>
        <w:t xml:space="preserve"> CA, Dear MR, et al. Pressure sores among hospital patients. </w:t>
      </w:r>
      <w:hyperlink r:id="rId9" w:tgtFrame="_blank" w:history="1">
        <w:r w:rsidRPr="00FE4314">
          <w:rPr>
            <w:shd w:val="clear" w:color="auto" w:fill="F6F6F6"/>
            <w:lang w:val="en-US"/>
          </w:rPr>
          <w:t>Ann Intern Med. 1986; 105 (3):337-42.</w:t>
        </w:r>
      </w:hyperlink>
    </w:p>
    <w:p w:rsidR="00BC02A7" w:rsidRPr="00FE4314" w:rsidRDefault="00BC02A7" w:rsidP="00BC02A7">
      <w:pPr>
        <w:pStyle w:val="Geenafstand"/>
        <w:rPr>
          <w:shd w:val="clear" w:color="auto" w:fill="F6F6F6"/>
          <w:lang w:val="en-US"/>
        </w:rPr>
      </w:pPr>
    </w:p>
    <w:p w:rsidR="00FE4314" w:rsidRPr="00FE4314" w:rsidRDefault="00FE4314" w:rsidP="00BC02A7">
      <w:pPr>
        <w:pStyle w:val="Geenafstand"/>
        <w:rPr>
          <w:shd w:val="clear" w:color="auto" w:fill="F6F6F6"/>
          <w:lang w:val="en-US"/>
        </w:rPr>
      </w:pPr>
      <w:r w:rsidRPr="00FE4314">
        <w:rPr>
          <w:shd w:val="clear" w:color="auto" w:fill="F6F6F6"/>
          <w:lang w:val="en-US"/>
        </w:rPr>
        <w:t>8. Ducker A. Pressure ulcers: assessment, prevention, and compliance. </w:t>
      </w:r>
      <w:hyperlink r:id="rId10" w:tgtFrame="_blank" w:history="1">
        <w:r w:rsidRPr="00FE4314">
          <w:rPr>
            <w:shd w:val="clear" w:color="auto" w:fill="F6F6F6"/>
            <w:lang w:val="en-US"/>
          </w:rPr>
          <w:t>Case Manager.2002; 13(4): 61-4</w:t>
        </w:r>
      </w:hyperlink>
      <w:r w:rsidRPr="00FE4314">
        <w:rPr>
          <w:shd w:val="clear" w:color="auto" w:fill="F6F6F6"/>
          <w:lang w:val="en-US"/>
        </w:rPr>
        <w:t>.</w:t>
      </w:r>
    </w:p>
    <w:p w:rsidR="00FE4314" w:rsidRPr="00FE4314" w:rsidRDefault="00FE4314" w:rsidP="00BC02A7">
      <w:pPr>
        <w:pStyle w:val="Geenafstand"/>
        <w:rPr>
          <w:shd w:val="clear" w:color="auto" w:fill="F6F6F6"/>
          <w:lang w:val="en-US"/>
        </w:rPr>
      </w:pPr>
    </w:p>
    <w:p w:rsidR="00FE4314" w:rsidRPr="00FE4314" w:rsidRDefault="00FE4314" w:rsidP="00BC02A7">
      <w:pPr>
        <w:pStyle w:val="Geenafstand"/>
        <w:rPr>
          <w:shd w:val="clear" w:color="auto" w:fill="F6F6F6"/>
          <w:lang w:val="en-US"/>
        </w:rPr>
      </w:pPr>
      <w:r w:rsidRPr="00FE4314">
        <w:rPr>
          <w:shd w:val="clear" w:color="auto" w:fill="F6F6F6"/>
          <w:lang w:val="en-US"/>
        </w:rPr>
        <w:t xml:space="preserve">9. </w:t>
      </w:r>
      <w:proofErr w:type="spellStart"/>
      <w:r w:rsidRPr="00FE4314">
        <w:rPr>
          <w:shd w:val="clear" w:color="auto" w:fill="F6F6F6"/>
          <w:lang w:val="en-US"/>
        </w:rPr>
        <w:t>Stausberg</w:t>
      </w:r>
      <w:proofErr w:type="spellEnd"/>
      <w:r w:rsidRPr="00FE4314">
        <w:rPr>
          <w:shd w:val="clear" w:color="auto" w:fill="F6F6F6"/>
          <w:lang w:val="en-US"/>
        </w:rPr>
        <w:t xml:space="preserve"> J, Kroger K, Maier I, Schneider H, </w:t>
      </w:r>
      <w:proofErr w:type="spellStart"/>
      <w:r w:rsidRPr="00FE4314">
        <w:rPr>
          <w:shd w:val="clear" w:color="auto" w:fill="F6F6F6"/>
          <w:lang w:val="en-US"/>
        </w:rPr>
        <w:t>Niebel</w:t>
      </w:r>
      <w:proofErr w:type="spellEnd"/>
      <w:r w:rsidRPr="00FE4314">
        <w:rPr>
          <w:shd w:val="clear" w:color="auto" w:fill="F6F6F6"/>
          <w:lang w:val="en-US"/>
        </w:rPr>
        <w:t xml:space="preserve"> W, Pressure ulcers in secondary care: incidence, prevalence and relevance. </w:t>
      </w:r>
      <w:hyperlink r:id="rId11" w:tgtFrame="_blank" w:history="1">
        <w:r w:rsidRPr="00FE4314">
          <w:rPr>
            <w:shd w:val="clear" w:color="auto" w:fill="F6F6F6"/>
            <w:lang w:val="en-US"/>
          </w:rPr>
          <w:t>Adv Skin Wound Care. 2005; 18(3):140-5</w:t>
        </w:r>
      </w:hyperlink>
      <w:r w:rsidRPr="00FE4314">
        <w:rPr>
          <w:shd w:val="clear" w:color="auto" w:fill="F6F6F6"/>
          <w:lang w:val="en-US"/>
        </w:rPr>
        <w:t>.</w:t>
      </w:r>
    </w:p>
    <w:p w:rsidR="00FE4314" w:rsidRPr="00FE4314" w:rsidRDefault="00FE4314" w:rsidP="00BC02A7">
      <w:pPr>
        <w:pStyle w:val="Geenafstand"/>
        <w:rPr>
          <w:shd w:val="clear" w:color="auto" w:fill="F6F6F6"/>
          <w:lang w:val="en-US"/>
        </w:rPr>
      </w:pPr>
    </w:p>
    <w:p w:rsidR="00FE4314" w:rsidRPr="00FE4314" w:rsidRDefault="00FE4314" w:rsidP="00BC02A7">
      <w:pPr>
        <w:pStyle w:val="Geenafstand"/>
        <w:rPr>
          <w:shd w:val="clear" w:color="auto" w:fill="F6F6F6"/>
          <w:lang w:val="en-US"/>
        </w:rPr>
      </w:pPr>
      <w:r w:rsidRPr="00FE4314">
        <w:rPr>
          <w:shd w:val="clear" w:color="auto" w:fill="F6F6F6"/>
          <w:lang w:val="en-US"/>
        </w:rPr>
        <w:t xml:space="preserve">10. Kumar RN, </w:t>
      </w:r>
      <w:proofErr w:type="spellStart"/>
      <w:r w:rsidRPr="00FE4314">
        <w:rPr>
          <w:shd w:val="clear" w:color="auto" w:fill="F6F6F6"/>
          <w:lang w:val="en-US"/>
        </w:rPr>
        <w:t>Gupchup</w:t>
      </w:r>
      <w:proofErr w:type="spellEnd"/>
      <w:r w:rsidRPr="00FE4314">
        <w:rPr>
          <w:shd w:val="clear" w:color="auto" w:fill="F6F6F6"/>
          <w:lang w:val="en-US"/>
        </w:rPr>
        <w:t xml:space="preserve"> GV, Dodd MA, Shah B, </w:t>
      </w:r>
      <w:proofErr w:type="spellStart"/>
      <w:r w:rsidRPr="00FE4314">
        <w:rPr>
          <w:shd w:val="clear" w:color="auto" w:fill="F6F6F6"/>
          <w:lang w:val="en-US"/>
        </w:rPr>
        <w:t>Iskedjian</w:t>
      </w:r>
      <w:proofErr w:type="spellEnd"/>
      <w:r w:rsidRPr="00FE4314">
        <w:rPr>
          <w:shd w:val="clear" w:color="auto" w:fill="F6F6F6"/>
          <w:lang w:val="en-US"/>
        </w:rPr>
        <w:t xml:space="preserve"> M, </w:t>
      </w:r>
      <w:proofErr w:type="spellStart"/>
      <w:r w:rsidRPr="00FE4314">
        <w:rPr>
          <w:shd w:val="clear" w:color="auto" w:fill="F6F6F6"/>
          <w:lang w:val="en-US"/>
        </w:rPr>
        <w:t>Einarson</w:t>
      </w:r>
      <w:proofErr w:type="spellEnd"/>
      <w:r w:rsidRPr="00FE4314">
        <w:rPr>
          <w:shd w:val="clear" w:color="auto" w:fill="F6F6F6"/>
          <w:lang w:val="en-US"/>
        </w:rPr>
        <w:t xml:space="preserve"> TR, et al. Direct health care costs of 4 common skin ulcers in New Mexico Medicaid fee-for-service patients. </w:t>
      </w:r>
      <w:hyperlink r:id="rId12" w:tgtFrame="_blank" w:history="1">
        <w:r w:rsidRPr="00FE4314">
          <w:rPr>
            <w:shd w:val="clear" w:color="auto" w:fill="F6F6F6"/>
            <w:lang w:val="en-US"/>
          </w:rPr>
          <w:t>Adv Skin Wound Care 2004; 17(3):143-9</w:t>
        </w:r>
      </w:hyperlink>
      <w:r w:rsidRPr="00FE4314">
        <w:rPr>
          <w:shd w:val="clear" w:color="auto" w:fill="F6F6F6"/>
          <w:lang w:val="en-US"/>
        </w:rPr>
        <w:t>.</w:t>
      </w:r>
    </w:p>
    <w:p w:rsidR="00FE4314" w:rsidRPr="00FE4314" w:rsidRDefault="00FE4314" w:rsidP="00BC02A7">
      <w:pPr>
        <w:pStyle w:val="Geenafstand"/>
        <w:rPr>
          <w:shd w:val="clear" w:color="auto" w:fill="F6F6F6"/>
          <w:lang w:val="en-US"/>
        </w:rPr>
      </w:pPr>
    </w:p>
    <w:p w:rsidR="00BC02A7" w:rsidRDefault="00BC02A7" w:rsidP="00BC02A7">
      <w:pPr>
        <w:pStyle w:val="Geenafstand"/>
        <w:rPr>
          <w:lang w:val="en-US"/>
        </w:rPr>
      </w:pPr>
    </w:p>
    <w:p w:rsidR="00BC02A7" w:rsidRPr="00BC02A7" w:rsidRDefault="00BC02A7" w:rsidP="00BC02A7">
      <w:pPr>
        <w:pStyle w:val="Geenafstand"/>
        <w:rPr>
          <w:lang w:val="en-US"/>
        </w:rPr>
      </w:pPr>
    </w:p>
    <w:sectPr w:rsidR="00BC02A7" w:rsidRPr="00BC02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3D38DB"/>
    <w:multiLevelType w:val="hybridMultilevel"/>
    <w:tmpl w:val="D5EC47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3F75FD1"/>
    <w:multiLevelType w:val="hybridMultilevel"/>
    <w:tmpl w:val="84C288F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54F32304"/>
    <w:multiLevelType w:val="hybridMultilevel"/>
    <w:tmpl w:val="2E7231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EA2"/>
    <w:rsid w:val="00092EA2"/>
    <w:rsid w:val="002F5215"/>
    <w:rsid w:val="005A3F0E"/>
    <w:rsid w:val="008B6D03"/>
    <w:rsid w:val="00B65623"/>
    <w:rsid w:val="00BC02A7"/>
    <w:rsid w:val="00E9019B"/>
    <w:rsid w:val="00FE43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AF7AE"/>
  <w15:chartTrackingRefBased/>
  <w15:docId w15:val="{30A503D5-BE53-4390-9FD7-BE8885B4A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092EA2"/>
  </w:style>
  <w:style w:type="paragraph" w:styleId="Kop2">
    <w:name w:val="heading 2"/>
    <w:basedOn w:val="Standaard"/>
    <w:next w:val="Standaard"/>
    <w:link w:val="Kop2Char"/>
    <w:uiPriority w:val="9"/>
    <w:unhideWhenUsed/>
    <w:qFormat/>
    <w:rsid w:val="00092EA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092EA2"/>
    <w:rPr>
      <w:rFonts w:asciiTheme="majorHAnsi" w:eastAsiaTheme="majorEastAsia" w:hAnsiTheme="majorHAnsi" w:cstheme="majorBidi"/>
      <w:color w:val="2E74B5" w:themeColor="accent1" w:themeShade="BF"/>
      <w:sz w:val="26"/>
      <w:szCs w:val="26"/>
    </w:rPr>
  </w:style>
  <w:style w:type="character" w:styleId="Hyperlink">
    <w:name w:val="Hyperlink"/>
    <w:basedOn w:val="Standaardalinea-lettertype"/>
    <w:uiPriority w:val="99"/>
    <w:unhideWhenUsed/>
    <w:rsid w:val="00092EA2"/>
    <w:rPr>
      <w:color w:val="0000FF"/>
      <w:u w:val="single"/>
    </w:rPr>
  </w:style>
  <w:style w:type="paragraph" w:styleId="Lijstalinea">
    <w:name w:val="List Paragraph"/>
    <w:basedOn w:val="Standaard"/>
    <w:uiPriority w:val="34"/>
    <w:qFormat/>
    <w:rsid w:val="00092EA2"/>
    <w:pPr>
      <w:ind w:left="720"/>
      <w:contextualSpacing/>
    </w:pPr>
  </w:style>
  <w:style w:type="paragraph" w:styleId="Geenafstand">
    <w:name w:val="No Spacing"/>
    <w:uiPriority w:val="1"/>
    <w:qFormat/>
    <w:rsid w:val="00BC02A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cbi.nlm.nih.gov/pubmed/1032635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cbi.nlm.nih.gov/pubmed/18289185" TargetMode="External"/><Relationship Id="rId12" Type="http://schemas.openxmlformats.org/officeDocument/2006/relationships/hyperlink" Target="http://www.ncbi.nlm.nih.gov/pubmed/1519497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cbi.nlm.nih.gov/pubmed/6144938" TargetMode="External"/><Relationship Id="rId11" Type="http://schemas.openxmlformats.org/officeDocument/2006/relationships/hyperlink" Target="http://www.ncbi.nlm.nih.gov/pubmed/15840982" TargetMode="External"/><Relationship Id="rId5" Type="http://schemas.openxmlformats.org/officeDocument/2006/relationships/hyperlink" Target="https://www.oncoline.nl/decubitus" TargetMode="External"/><Relationship Id="rId10" Type="http://schemas.openxmlformats.org/officeDocument/2006/relationships/hyperlink" Target="http://www.ncbi.nlm.nih.gov/pubmed/12131910" TargetMode="External"/><Relationship Id="rId4" Type="http://schemas.openxmlformats.org/officeDocument/2006/relationships/webSettings" Target="webSettings.xml"/><Relationship Id="rId9" Type="http://schemas.openxmlformats.org/officeDocument/2006/relationships/hyperlink" Target="http://www.ncbi.nlm.nih.gov/pubmed/3740674"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137</TotalTime>
  <Pages>3</Pages>
  <Words>1127</Words>
  <Characters>6199</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Hayes</dc:creator>
  <cp:keywords/>
  <dc:description/>
  <cp:lastModifiedBy>S. Hayes</cp:lastModifiedBy>
  <cp:revision>2</cp:revision>
  <dcterms:created xsi:type="dcterms:W3CDTF">2019-09-19T09:40:00Z</dcterms:created>
  <dcterms:modified xsi:type="dcterms:W3CDTF">2019-09-19T12:14:00Z</dcterms:modified>
</cp:coreProperties>
</file>